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A23743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68198F02" w:rsidR="00060C29" w:rsidRPr="00D64E17" w:rsidRDefault="000B140D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322458A3" w:rsidR="00060C29" w:rsidRPr="00D64E17" w:rsidRDefault="003A335F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5676935D" w:rsidR="001E29EA" w:rsidRDefault="001E29EA" w:rsidP="008A5983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A23743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A23743" w:rsidRPr="00C7394E" w:rsidRDefault="00A23743" w:rsidP="00A23743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47091345" w:rsidR="00A23743" w:rsidRPr="006C1404" w:rsidRDefault="00A23743" w:rsidP="00A2374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0CA61124" w:rsidR="00A23743" w:rsidRPr="006C1404" w:rsidRDefault="00A23743" w:rsidP="00A2374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5B710503" w:rsidR="00A23743" w:rsidRPr="006C1404" w:rsidRDefault="00A23743" w:rsidP="00A2374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A23743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A23743" w:rsidRPr="00C7394E" w:rsidRDefault="00A23743" w:rsidP="00A23743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6005C1C5" w:rsidR="00A23743" w:rsidRDefault="00A23743" w:rsidP="00A23743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67BBE685" w:rsidR="00A23743" w:rsidRDefault="00A23743" w:rsidP="00A23743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1A6B3DE9" w:rsidR="00A23743" w:rsidRDefault="00A23743" w:rsidP="00A23743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bookmarkStart w:id="0" w:name="_GoBack"/>
      <w:bookmarkEnd w:id="0"/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0BE2C895" w:rsidR="00BB7846" w:rsidRDefault="00894064" w:rsidP="00894064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894064">
        <w:rPr>
          <w:rFonts w:cs="Arial"/>
          <w:color w:val="000000"/>
          <w:kern w:val="0"/>
          <w:lang w:val="es-MX" w:eastAsia="es-MX"/>
        </w:rPr>
        <w:t>Establecer un documento de apoyo con los criterios de diseño para las pruebas que puedan surgir de los planes de continuidad de negocio.</w:t>
      </w:r>
    </w:p>
    <w:p w14:paraId="0F63BDCE" w14:textId="77777777" w:rsidR="00894064" w:rsidRPr="00894064" w:rsidRDefault="00894064" w:rsidP="00894064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65A403" w14:textId="46462473" w:rsidR="00B0105A" w:rsidRPr="00BE0046" w:rsidRDefault="00B0105A" w:rsidP="00BE0046">
      <w:pPr>
        <w:pStyle w:val="Prrafodelista"/>
        <w:numPr>
          <w:ilvl w:val="1"/>
          <w:numId w:val="2"/>
        </w:numPr>
        <w:spacing w:beforeLines="60" w:before="144" w:after="60"/>
        <w:contextualSpacing w:val="0"/>
        <w:jc w:val="both"/>
        <w:rPr>
          <w:rFonts w:cs="Arial"/>
          <w:lang w:val="es-MX"/>
        </w:rPr>
      </w:pPr>
      <w:r w:rsidRPr="00B0105A">
        <w:rPr>
          <w:rFonts w:cs="Arial"/>
          <w:lang w:val="es-MX"/>
        </w:rPr>
        <w:t xml:space="preserve">Este plan queda acotado a la operación del Monedero </w:t>
      </w:r>
      <w:r w:rsidR="00EE690A">
        <w:rPr>
          <w:rFonts w:cs="Arial"/>
          <w:lang w:val="es-MX"/>
        </w:rPr>
        <w:t>Electrónico</w:t>
      </w:r>
      <w:r w:rsidRPr="00B0105A">
        <w:rPr>
          <w:rFonts w:cs="Arial"/>
          <w:lang w:val="es-MX"/>
        </w:rPr>
        <w:t xml:space="preserve"> cuando por alguna razón no se </w:t>
      </w:r>
      <w:r w:rsidRPr="00BE0046">
        <w:rPr>
          <w:rFonts w:cs="Arial"/>
          <w:lang w:val="es-MX"/>
        </w:rPr>
        <w:t>disponga de:</w:t>
      </w:r>
    </w:p>
    <w:p w14:paraId="45329AB5" w14:textId="14518151" w:rsidR="00BE0046" w:rsidRPr="00BE0046" w:rsidRDefault="00BE0046" w:rsidP="00BE0046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 xml:space="preserve">El Sistema del </w:t>
      </w:r>
      <w:r w:rsidR="00EE690A" w:rsidRPr="00B0105A">
        <w:rPr>
          <w:rFonts w:cs="Arial"/>
          <w:lang w:val="es-MX"/>
        </w:rPr>
        <w:t xml:space="preserve">Monedero </w:t>
      </w:r>
      <w:r w:rsidR="00EE690A">
        <w:rPr>
          <w:rFonts w:cs="Arial"/>
          <w:lang w:val="es-MX"/>
        </w:rPr>
        <w:t>Electrónico</w:t>
      </w:r>
      <w:r w:rsidRPr="00BE0046">
        <w:rPr>
          <w:rFonts w:cs="Arial"/>
          <w:lang w:val="es-MX"/>
        </w:rPr>
        <w:t>.</w:t>
      </w:r>
    </w:p>
    <w:p w14:paraId="0033DF10" w14:textId="2EDFF14C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Los servicios del centro de datos.</w:t>
      </w:r>
    </w:p>
    <w:p w14:paraId="04BDBC81" w14:textId="0A702807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Enlaces de internet en alguna estación, corporativo o ambas.</w:t>
      </w:r>
    </w:p>
    <w:p w14:paraId="49E4C5EE" w14:textId="0E0C324E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Energía eléctrica en las estaciones o corporativo.</w:t>
      </w:r>
    </w:p>
    <w:p w14:paraId="688A12E6" w14:textId="77777777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Oficinas administrativas.</w:t>
      </w:r>
    </w:p>
    <w:p w14:paraId="62D50157" w14:textId="267E1056" w:rsidR="00E8237D" w:rsidRPr="00BE0046" w:rsidRDefault="00E8237D" w:rsidP="00D65405">
      <w:pPr>
        <w:pStyle w:val="Prrafodelista"/>
        <w:ind w:left="1080"/>
        <w:jc w:val="both"/>
        <w:rPr>
          <w:rFonts w:cs="Arial"/>
          <w:lang w:val="es-MX"/>
        </w:rPr>
      </w:pPr>
    </w:p>
    <w:p w14:paraId="20A15F51" w14:textId="5F1FDAF6" w:rsidR="00BD7A76" w:rsidRPr="00BD7A76" w:rsidRDefault="00BD7A76" w:rsidP="00D6540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  <w:r w:rsidR="00F3519E">
        <w:rPr>
          <w:rFonts w:cs="Arial"/>
          <w:b/>
          <w:bCs/>
          <w:sz w:val="22"/>
          <w:lang w:val="es-MX"/>
        </w:rPr>
        <w:t xml:space="preserve"> y Procedimiento</w:t>
      </w:r>
    </w:p>
    <w:p w14:paraId="3B74B5F7" w14:textId="452FF953" w:rsidR="008726ED" w:rsidRPr="00CA7845" w:rsidRDefault="003260BA" w:rsidP="00D6540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b/>
          <w:lang w:val="es-MX"/>
        </w:rPr>
        <w:t>Diseño de pruebas para e plan de continuidad.</w:t>
      </w:r>
    </w:p>
    <w:p w14:paraId="375DB096" w14:textId="39B93312" w:rsidR="00D65405" w:rsidRPr="00D65405" w:rsidRDefault="00D65405" w:rsidP="00EB10B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D65405">
        <w:rPr>
          <w:lang w:val="es-MX"/>
        </w:rPr>
        <w:t>El plan de continuidad (</w:t>
      </w:r>
      <w:r w:rsidR="003A335F">
        <w:rPr>
          <w:b/>
          <w:lang w:val="es-MX"/>
        </w:rPr>
        <w:t>SF</w:t>
      </w:r>
      <w:r w:rsidR="00EB10B4" w:rsidRPr="00EB10B4">
        <w:rPr>
          <w:b/>
          <w:lang w:val="es-MX"/>
        </w:rPr>
        <w:t>-P-13</w:t>
      </w:r>
      <w:r w:rsidRPr="00EB10B4">
        <w:rPr>
          <w:b/>
          <w:lang w:val="es-MX"/>
        </w:rPr>
        <w:t xml:space="preserve"> Plan de continuidad del negocio</w:t>
      </w:r>
      <w:r w:rsidRPr="00D65405">
        <w:rPr>
          <w:lang w:val="es-MX"/>
        </w:rPr>
        <w:t xml:space="preserve">) contempla seis escenarios de riesgo, para los cuales propone medidas preventivas y correctivas que permitan continuar con la operación del Monedero Electrónico.  </w:t>
      </w:r>
    </w:p>
    <w:p w14:paraId="204C49BA" w14:textId="77777777" w:rsidR="00D65405" w:rsidRPr="00D65405" w:rsidRDefault="00D65405" w:rsidP="00D6540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D65405">
        <w:rPr>
          <w:lang w:val="es-MX"/>
        </w:rPr>
        <w:t xml:space="preserve">Los planes de continuidad deberán ser puestos a prueba para determinar su efectividad, ese proceso implica diseñar una metodología para determinar si las medidas tomadas son alcanzables o si necesitan cambios, ajustes, etc. Los criterios mínimos a considerar por cada escenario de riesgo serán los siguientes: </w:t>
      </w:r>
    </w:p>
    <w:p w14:paraId="62B71DB3" w14:textId="6BDCE078" w:rsidR="00F61F05" w:rsidRPr="00D65405" w:rsidRDefault="00D65405" w:rsidP="00D6540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D65405">
        <w:rPr>
          <w:b/>
          <w:bCs/>
          <w:lang w:val="es-MX"/>
        </w:rPr>
        <w:t>Falla Eléctrica.</w:t>
      </w:r>
    </w:p>
    <w:p w14:paraId="246D965C" w14:textId="77777777" w:rsidR="00F41D4E" w:rsidRDefault="00F41D4E" w:rsidP="00AE3DD2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F41D4E">
        <w:rPr>
          <w:lang w:val="es-MX"/>
        </w:rPr>
        <w:t>Comportamiento esperado. En caso de un corte de energía eléctrica proveniente de la red pública la respuesta del equipo deberá ser la siguiente:</w:t>
      </w:r>
    </w:p>
    <w:p w14:paraId="2765FB28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La batería de respaldo deberá sostener el consumo de los servidores y equipos de comunicación sin que haya interrupciones del servicio o estos se apaguen.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0E60FBFC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El Generador deberá arrancar inmediatamente una vez que se detecte la caída de suministro de la red pública.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39AFACD8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Tras un minuto de operación, el transfer </w:t>
      </w:r>
      <w:proofErr w:type="spellStart"/>
      <w:r w:rsidRPr="00AE3DD2">
        <w:rPr>
          <w:lang w:val="es-MX"/>
        </w:rPr>
        <w:t>switch</w:t>
      </w:r>
      <w:proofErr w:type="spellEnd"/>
      <w:r w:rsidRPr="00AE3DD2">
        <w:rPr>
          <w:lang w:val="es-MX"/>
        </w:rPr>
        <w:t xml:space="preserve"> deberá conectar la entrada del UPS a la corriente que produce el generador y desconectarla de la red pública. </w:t>
      </w:r>
      <w:r w:rsidRPr="00AB303A">
        <w:rPr>
          <w:color w:val="A6A6A6" w:themeColor="background1" w:themeShade="A6"/>
          <w:lang w:val="es-MX"/>
        </w:rPr>
        <w:t>(tiempo de activación un minuto).</w:t>
      </w:r>
    </w:p>
    <w:p w14:paraId="23869A16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La batería de respaldo deberá conmutarse y dejar de alimentar la carga con baterías y hacerlo ahora con la corriente producida por el generador, todo esto sin que haya cortes, apagones o caídas de servicio.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1C294FDE" w14:textId="1F03470A" w:rsidR="00123DBB" w:rsidRDefault="00AE3DD2" w:rsidP="00123DBB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color w:val="A6A6A6" w:themeColor="background1" w:themeShade="A6"/>
          <w:lang w:val="es-MX"/>
        </w:rPr>
      </w:pPr>
      <w:r w:rsidRPr="00AE3DD2">
        <w:rPr>
          <w:lang w:val="es-MX"/>
        </w:rPr>
        <w:t xml:space="preserve">Tras 5 minutos de operación se deberán restablecer las condiciones normales, transfiriendo la entrada del UPS a la corriente de red pública. </w:t>
      </w:r>
      <w:r w:rsidRPr="00AB303A">
        <w:rPr>
          <w:color w:val="A6A6A6" w:themeColor="background1" w:themeShade="A6"/>
          <w:lang w:val="es-MX"/>
        </w:rPr>
        <w:t>(Esperar entre 3 y 5 minutos antes de regresar a la red pública).</w:t>
      </w:r>
    </w:p>
    <w:p w14:paraId="014F674C" w14:textId="77777777" w:rsidR="00123DBB" w:rsidRPr="00123DBB" w:rsidRDefault="00123DBB" w:rsidP="00123DBB">
      <w:pPr>
        <w:pStyle w:val="Prrafodelista"/>
        <w:numPr>
          <w:ilvl w:val="0"/>
          <w:numId w:val="12"/>
        </w:numPr>
        <w:jc w:val="both"/>
        <w:rPr>
          <w:color w:val="A6A6A6" w:themeColor="background1" w:themeShade="A6"/>
          <w:lang w:val="es-MX"/>
        </w:rPr>
      </w:pPr>
      <w:r w:rsidRPr="00123DBB">
        <w:rPr>
          <w:lang w:val="es-MX"/>
        </w:rPr>
        <w:lastRenderedPageBreak/>
        <w:t xml:space="preserve">El Generador deberá apagarse y la batería de respaldo deberá continuar en línea sin que haya apagones o caídas de servicio. </w:t>
      </w:r>
      <w:r w:rsidRPr="00123DBB">
        <w:rPr>
          <w:color w:val="A6A6A6" w:themeColor="background1" w:themeShade="A6"/>
          <w:lang w:val="es-MX"/>
        </w:rPr>
        <w:t>(tiempo de activación Inmediato).</w:t>
      </w:r>
    </w:p>
    <w:p w14:paraId="490E277F" w14:textId="77777777" w:rsidR="000755FD" w:rsidRPr="000755FD" w:rsidRDefault="000755FD" w:rsidP="004E7649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755FD">
        <w:rPr>
          <w:lang w:val="es-MX"/>
        </w:rPr>
        <w:t>Actividades a Realizar. Para la simulación del corte eléctrico se deberán realizar las siguientes actividades:</w:t>
      </w:r>
    </w:p>
    <w:p w14:paraId="44FD6B0B" w14:textId="77777777" w:rsidR="007040B7" w:rsidRDefault="007040B7" w:rsidP="004E7649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7040B7">
        <w:rPr>
          <w:lang w:val="es-MX"/>
        </w:rPr>
        <w:t>Arranque manual del generador.</w:t>
      </w:r>
    </w:p>
    <w:p w14:paraId="70888A2A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 xml:space="preserve">Activación manual del transfer </w:t>
      </w:r>
      <w:proofErr w:type="spellStart"/>
      <w:r w:rsidRPr="004E7649">
        <w:rPr>
          <w:lang w:val="es-MX"/>
        </w:rPr>
        <w:t>switch</w:t>
      </w:r>
      <w:proofErr w:type="spellEnd"/>
      <w:r w:rsidRPr="004E7649">
        <w:rPr>
          <w:lang w:val="es-MX"/>
        </w:rPr>
        <w:t>.</w:t>
      </w:r>
    </w:p>
    <w:p w14:paraId="4129716E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la entrada momentánea de la batería de respaldo.</w:t>
      </w:r>
    </w:p>
    <w:p w14:paraId="6DF172AF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funcionamiento de los sistemas.</w:t>
      </w:r>
    </w:p>
    <w:p w14:paraId="62C988BA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Esperar entre 3 y 5 minutos.</w:t>
      </w:r>
    </w:p>
    <w:p w14:paraId="688F29CD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 xml:space="preserve">Regresar el transfer </w:t>
      </w:r>
      <w:proofErr w:type="spellStart"/>
      <w:r w:rsidRPr="004E7649">
        <w:rPr>
          <w:lang w:val="es-MX"/>
        </w:rPr>
        <w:t>switch</w:t>
      </w:r>
      <w:proofErr w:type="spellEnd"/>
      <w:r w:rsidRPr="004E7649">
        <w:rPr>
          <w:lang w:val="es-MX"/>
        </w:rPr>
        <w:t xml:space="preserve"> a la red pública.</w:t>
      </w:r>
    </w:p>
    <w:p w14:paraId="57437C55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que se apague el generador (un minuto después de regresar a la red pública).</w:t>
      </w:r>
    </w:p>
    <w:p w14:paraId="5305A112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 xml:space="preserve">Revisar batería en línea con alimentación de la red pública. </w:t>
      </w:r>
    </w:p>
    <w:p w14:paraId="1A01015D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sistemas y equipos de comunicación sin cortes ni apagones.</w:t>
      </w:r>
    </w:p>
    <w:p w14:paraId="339E0DC0" w14:textId="5BC3D9A6" w:rsidR="004E7649" w:rsidRPr="004E7649" w:rsidRDefault="004E7649" w:rsidP="00EB10B4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="00EB10B4"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="00EB10B4"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="00EB10B4"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necesario.</w:t>
      </w:r>
    </w:p>
    <w:p w14:paraId="3406B861" w14:textId="77777777" w:rsidR="007040B7" w:rsidRPr="004E7649" w:rsidRDefault="007040B7" w:rsidP="004E7649">
      <w:pPr>
        <w:pStyle w:val="Prrafodelista"/>
        <w:ind w:left="2520"/>
        <w:rPr>
          <w:lang w:val="es-MX"/>
        </w:rPr>
      </w:pPr>
    </w:p>
    <w:p w14:paraId="729FFA97" w14:textId="12C0A58D" w:rsidR="00AE3DD2" w:rsidRPr="00A26629" w:rsidRDefault="00A26629" w:rsidP="00FE79E3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A26629">
        <w:rPr>
          <w:b/>
          <w:bCs/>
          <w:lang w:val="es-MX"/>
        </w:rPr>
        <w:t>Falla de enlaces de Internet.</w:t>
      </w:r>
    </w:p>
    <w:p w14:paraId="637A3966" w14:textId="77777777" w:rsidR="006D4322" w:rsidRDefault="006D4322" w:rsidP="00FE79E3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D4322">
        <w:rPr>
          <w:lang w:val="es-MX"/>
        </w:rPr>
        <w:t>Comportamiento esperado. En caso de la caída de un enlace de internet la respuesta de los equipos de red sebera ser la siguiente:</w:t>
      </w:r>
    </w:p>
    <w:p w14:paraId="3BC3C437" w14:textId="77777777" w:rsidR="00FE79E3" w:rsidRPr="00FE79E3" w:rsidRDefault="00FE79E3" w:rsidP="00FE79E3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FE79E3">
        <w:rPr>
          <w:lang w:val="es-MX"/>
        </w:rPr>
        <w:t xml:space="preserve">El clúster de firewalls deberá conmutar por error el enlace afectado de forma automática </w:t>
      </w:r>
      <w:r w:rsidRPr="00FE79E3">
        <w:rPr>
          <w:color w:val="A6A6A6" w:themeColor="background1" w:themeShade="A6"/>
          <w:lang w:val="es-MX"/>
        </w:rPr>
        <w:t>(tiempo de activación menos a 30 segundos).</w:t>
      </w:r>
    </w:p>
    <w:p w14:paraId="604B4C91" w14:textId="77777777" w:rsidR="00FE79E3" w:rsidRPr="00FE79E3" w:rsidRDefault="00FE79E3" w:rsidP="00FE79E3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FE79E3">
        <w:rPr>
          <w:lang w:val="es-MX"/>
        </w:rPr>
        <w:t>Los usuarios y aplicaciones no deberán presentar cortes de servicio.</w:t>
      </w:r>
    </w:p>
    <w:p w14:paraId="43C547AB" w14:textId="77777777" w:rsidR="00FE79E3" w:rsidRPr="00FE79E3" w:rsidRDefault="00FE79E3" w:rsidP="00FE79E3">
      <w:pPr>
        <w:pStyle w:val="Prrafodelista"/>
        <w:numPr>
          <w:ilvl w:val="0"/>
          <w:numId w:val="16"/>
        </w:numPr>
        <w:jc w:val="both"/>
        <w:rPr>
          <w:lang w:val="es-MX"/>
        </w:rPr>
      </w:pPr>
      <w:r w:rsidRPr="00FE79E3">
        <w:rPr>
          <w:lang w:val="es-MX"/>
        </w:rPr>
        <w:t xml:space="preserve">Rebalanceo de cargas automáticamente después del restablecimiento del enlace afectado </w:t>
      </w:r>
      <w:r w:rsidRPr="00FE79E3">
        <w:rPr>
          <w:color w:val="A6A6A6" w:themeColor="background1" w:themeShade="A6"/>
          <w:lang w:val="es-MX"/>
        </w:rPr>
        <w:t>(tiempo de activación menos a 30 segundos).</w:t>
      </w:r>
    </w:p>
    <w:p w14:paraId="238756D4" w14:textId="77777777" w:rsidR="006D4322" w:rsidRPr="006D4322" w:rsidRDefault="006D4322" w:rsidP="00FE79E3">
      <w:pPr>
        <w:pStyle w:val="Prrafodelista"/>
        <w:ind w:left="2520"/>
        <w:jc w:val="both"/>
        <w:rPr>
          <w:lang w:val="es-MX"/>
        </w:rPr>
      </w:pPr>
    </w:p>
    <w:p w14:paraId="5CB9EF6F" w14:textId="77777777" w:rsidR="009E45C0" w:rsidRDefault="009E45C0" w:rsidP="001D2DD6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9E45C0">
        <w:rPr>
          <w:lang w:val="es-MX"/>
        </w:rPr>
        <w:t>Actividades a Realizar. Para la simulación de la caída de un enlace de internet se deberán realizar las siguientes actividades:</w:t>
      </w:r>
    </w:p>
    <w:p w14:paraId="1FFFCA09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 xml:space="preserve">Iniciar sesión con permisos de escritura en el clúster de firewall vía la interfaz web </w:t>
      </w:r>
    </w:p>
    <w:p w14:paraId="32F68D18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Seleccionar una de las interfaces WAN y des habilitarla</w:t>
      </w:r>
    </w:p>
    <w:p w14:paraId="378F92AF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La interfaz deberá marcarse como inaccesible</w:t>
      </w:r>
    </w:p>
    <w:p w14:paraId="19FB098F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Comprobar que todas las sesiones de firewall están a través del enlace que quedo disponible.</w:t>
      </w:r>
    </w:p>
    <w:p w14:paraId="4EAA7F73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Realizar pings de comprobación a los servicios y a las sucursales remotas.</w:t>
      </w:r>
    </w:p>
    <w:p w14:paraId="7DE84A12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Esperar 5 minutos.</w:t>
      </w:r>
    </w:p>
    <w:p w14:paraId="536E98F0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Habilitar la interfaz que fue des habilitada.</w:t>
      </w:r>
    </w:p>
    <w:p w14:paraId="54EE0787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Comprobar el balanceo de cargas y sesiones por ambas interfaces WAN.</w:t>
      </w:r>
    </w:p>
    <w:p w14:paraId="31FD2273" w14:textId="2DF4BCDC" w:rsidR="00EB10B4" w:rsidRPr="00EB10B4" w:rsidRDefault="00EB10B4" w:rsidP="00EB10B4">
      <w:pPr>
        <w:pStyle w:val="Prrafodelista"/>
        <w:numPr>
          <w:ilvl w:val="0"/>
          <w:numId w:val="18"/>
        </w:numPr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</w:t>
      </w:r>
      <w:r w:rsidRPr="00EB10B4">
        <w:rPr>
          <w:lang w:val="es-MX"/>
        </w:rPr>
        <w:t>.</w:t>
      </w:r>
    </w:p>
    <w:p w14:paraId="4AA3A5CD" w14:textId="33FE9B70" w:rsidR="005D2C09" w:rsidRPr="00EB10B4" w:rsidRDefault="005D2C09" w:rsidP="00EB10B4">
      <w:pPr>
        <w:ind w:left="2160"/>
        <w:jc w:val="both"/>
        <w:rPr>
          <w:lang w:val="es-MX"/>
        </w:rPr>
      </w:pPr>
    </w:p>
    <w:p w14:paraId="4A33EB67" w14:textId="77777777" w:rsidR="005D2C09" w:rsidRPr="005D2C09" w:rsidRDefault="005D2C09" w:rsidP="00552C45">
      <w:pPr>
        <w:pStyle w:val="Prrafodelista"/>
        <w:ind w:left="2520"/>
        <w:rPr>
          <w:lang w:val="es-MX"/>
        </w:rPr>
      </w:pPr>
    </w:p>
    <w:p w14:paraId="0AAB8DD0" w14:textId="2F52F6D9" w:rsidR="00A26629" w:rsidRDefault="00D57D66" w:rsidP="0083221A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D57D66">
        <w:rPr>
          <w:b/>
          <w:bCs/>
          <w:lang w:val="es-MX"/>
        </w:rPr>
        <w:t>No disponibilidad de Oficinas.</w:t>
      </w:r>
    </w:p>
    <w:p w14:paraId="5CBE3988" w14:textId="3D2F68B7" w:rsidR="006821CD" w:rsidRDefault="00697B44" w:rsidP="0083221A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97B44">
        <w:rPr>
          <w:lang w:val="es-MX"/>
        </w:rPr>
        <w:t xml:space="preserve">Comportamiento esperado. En caso de que las oficinas donde se realizan las operaciones del </w:t>
      </w:r>
      <w:r w:rsidR="00EE690A" w:rsidRPr="00B0105A">
        <w:rPr>
          <w:rFonts w:cs="Arial"/>
          <w:lang w:val="es-MX"/>
        </w:rPr>
        <w:t xml:space="preserve">Monedero </w:t>
      </w:r>
      <w:r w:rsidR="00EE690A">
        <w:rPr>
          <w:rFonts w:cs="Arial"/>
          <w:lang w:val="es-MX"/>
        </w:rPr>
        <w:t>Electrónico</w:t>
      </w:r>
      <w:r w:rsidRPr="00697B44">
        <w:rPr>
          <w:lang w:val="es-MX"/>
        </w:rPr>
        <w:t xml:space="preserve"> no estén disponibles por cualquier continencia se espera que:</w:t>
      </w:r>
    </w:p>
    <w:p w14:paraId="517043F3" w14:textId="77777777" w:rsidR="0084590F" w:rsidRPr="0084590F" w:rsidRDefault="0084590F" w:rsidP="0083221A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84590F">
        <w:rPr>
          <w:lang w:val="es-MX"/>
        </w:rPr>
        <w:t>Los usuarios sean capaces de conectarse a los sistemas desde una sede alterna (tiempo de activación inmediato).</w:t>
      </w:r>
    </w:p>
    <w:p w14:paraId="5AEBB51D" w14:textId="77777777" w:rsidR="0084590F" w:rsidRPr="0084590F" w:rsidRDefault="0084590F" w:rsidP="0083221A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84590F">
        <w:rPr>
          <w:lang w:val="es-MX"/>
        </w:rPr>
        <w:lastRenderedPageBreak/>
        <w:t>Los usuarios sean capaces de conectarse desde sus casas vía VPN SSL (tiempo de activación inmediato).</w:t>
      </w:r>
    </w:p>
    <w:p w14:paraId="5D678855" w14:textId="77777777" w:rsidR="0083221A" w:rsidRDefault="0083221A" w:rsidP="00E51E75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83221A">
        <w:rPr>
          <w:lang w:val="es-MX"/>
        </w:rPr>
        <w:t>Actividades a Realizar. Para la simulación la no disponibilidad de las oficinas principales los usuarios se deberán realizar las siguientes actividades:</w:t>
      </w:r>
    </w:p>
    <w:p w14:paraId="240965E0" w14:textId="77777777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 xml:space="preserve">Iniciar sesión desde sus casas con el cliente SSL VPN de </w:t>
      </w:r>
      <w:proofErr w:type="spellStart"/>
      <w:r w:rsidRPr="00E51E75">
        <w:rPr>
          <w:lang w:val="es-MX"/>
        </w:rPr>
        <w:t>Fortinet</w:t>
      </w:r>
      <w:proofErr w:type="spellEnd"/>
      <w:r w:rsidRPr="00E51E75">
        <w:rPr>
          <w:lang w:val="es-MX"/>
        </w:rPr>
        <w:t xml:space="preserve"> instalado en sus computadoras portátiles.</w:t>
      </w:r>
    </w:p>
    <w:p w14:paraId="179612ED" w14:textId="34C7631B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 xml:space="preserve">Trasladarse a la sede alterna y probar el acceso al sistema de </w:t>
      </w:r>
      <w:r w:rsidR="00EE690A" w:rsidRPr="00B0105A">
        <w:rPr>
          <w:rFonts w:cs="Arial"/>
          <w:lang w:val="es-MX"/>
        </w:rPr>
        <w:t xml:space="preserve">Monedero </w:t>
      </w:r>
      <w:r w:rsidR="00EE690A">
        <w:rPr>
          <w:rFonts w:cs="Arial"/>
          <w:lang w:val="es-MX"/>
        </w:rPr>
        <w:t>Electrónico</w:t>
      </w:r>
      <w:r w:rsidRPr="00E51E75">
        <w:rPr>
          <w:lang w:val="es-MX"/>
        </w:rPr>
        <w:t>.</w:t>
      </w:r>
    </w:p>
    <w:p w14:paraId="7360CBB0" w14:textId="77777777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 xml:space="preserve">Revisar indicadores de la calidad de conexión como latencia, </w:t>
      </w:r>
      <w:proofErr w:type="spellStart"/>
      <w:r w:rsidRPr="00E51E75">
        <w:rPr>
          <w:lang w:val="es-MX"/>
        </w:rPr>
        <w:t>jitter</w:t>
      </w:r>
      <w:proofErr w:type="spellEnd"/>
      <w:r w:rsidRPr="00E51E75">
        <w:rPr>
          <w:lang w:val="es-MX"/>
        </w:rPr>
        <w:t xml:space="preserve"> y perdida de paquetes. </w:t>
      </w:r>
    </w:p>
    <w:p w14:paraId="6373049D" w14:textId="2F90BD6B" w:rsidR="00E51E75" w:rsidRPr="00E51E75" w:rsidRDefault="00EB10B4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</w:t>
      </w:r>
      <w:r w:rsidR="00E51E75" w:rsidRPr="00E51E75">
        <w:rPr>
          <w:lang w:val="es-MX"/>
        </w:rPr>
        <w:t>.</w:t>
      </w:r>
    </w:p>
    <w:p w14:paraId="5E48C534" w14:textId="77777777" w:rsidR="00E51E75" w:rsidRPr="0083221A" w:rsidRDefault="00E51E75" w:rsidP="00E51E75">
      <w:pPr>
        <w:pStyle w:val="Prrafodelista"/>
        <w:spacing w:before="60" w:after="60"/>
        <w:ind w:left="2520"/>
        <w:contextualSpacing w:val="0"/>
        <w:jc w:val="both"/>
        <w:rPr>
          <w:lang w:val="es-MX"/>
        </w:rPr>
      </w:pPr>
    </w:p>
    <w:p w14:paraId="78E11DFB" w14:textId="77777777" w:rsidR="004A5BA6" w:rsidRPr="004A5BA6" w:rsidRDefault="004A5BA6" w:rsidP="004A5BA6">
      <w:pPr>
        <w:pStyle w:val="Prrafodelista"/>
        <w:numPr>
          <w:ilvl w:val="1"/>
          <w:numId w:val="2"/>
        </w:numPr>
        <w:rPr>
          <w:b/>
          <w:bCs/>
          <w:lang w:val="es-MX"/>
        </w:rPr>
      </w:pPr>
      <w:r w:rsidRPr="004A5BA6">
        <w:rPr>
          <w:b/>
          <w:bCs/>
          <w:lang w:val="es-MX"/>
        </w:rPr>
        <w:t>Falla de los servicios del centro de datos.</w:t>
      </w:r>
    </w:p>
    <w:p w14:paraId="7B52CE49" w14:textId="77777777" w:rsidR="00367DBD" w:rsidRDefault="00367DBD" w:rsidP="00367DBD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367DBD">
        <w:rPr>
          <w:lang w:val="es-MX"/>
        </w:rPr>
        <w:t>Comportamiento esperado. En caso de falla de un sistema, servidor o centro de datos completo se espera que:</w:t>
      </w:r>
    </w:p>
    <w:p w14:paraId="6D292724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sea posible iniciar los sistemas afectados en un nuevo host de virtualización en el mismo centro de datos o en otro alterno </w:t>
      </w:r>
      <w:r w:rsidRPr="00FA68E4">
        <w:rPr>
          <w:color w:val="A6A6A6" w:themeColor="background1" w:themeShade="A6"/>
          <w:lang w:val="es-MX"/>
        </w:rPr>
        <w:t>(menos de veinte minutos después de reporte de falla)</w:t>
      </w:r>
      <w:r w:rsidRPr="00FA68E4">
        <w:rPr>
          <w:lang w:val="es-MX"/>
        </w:rPr>
        <w:t>.</w:t>
      </w:r>
    </w:p>
    <w:p w14:paraId="5ECF9380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los usuarios puedan conectarse a los sistemas de la misma manera en que lo hacen habitualmente </w:t>
      </w:r>
      <w:r w:rsidRPr="00FA68E4">
        <w:rPr>
          <w:color w:val="A6A6A6" w:themeColor="background1" w:themeShade="A6"/>
          <w:lang w:val="es-MX"/>
        </w:rPr>
        <w:t>(menos de veinte minutos después de reporte de falla)</w:t>
      </w:r>
      <w:r w:rsidRPr="00FA68E4">
        <w:rPr>
          <w:lang w:val="es-MX"/>
        </w:rPr>
        <w:t>.</w:t>
      </w:r>
    </w:p>
    <w:p w14:paraId="5C5A866A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sea posible re sincronizar los cambios y regresar la operación de los sistemas al host actual o al centro de datos principal </w:t>
      </w:r>
      <w:r w:rsidRPr="00FA68E4">
        <w:rPr>
          <w:color w:val="A6A6A6" w:themeColor="background1" w:themeShade="A6"/>
          <w:lang w:val="es-MX"/>
        </w:rPr>
        <w:t>(</w:t>
      </w:r>
      <w:proofErr w:type="spellStart"/>
      <w:r w:rsidRPr="00FA68E4">
        <w:rPr>
          <w:color w:val="A6A6A6" w:themeColor="background1" w:themeShade="A6"/>
          <w:lang w:val="es-MX"/>
        </w:rPr>
        <w:t>fail</w:t>
      </w:r>
      <w:proofErr w:type="spellEnd"/>
      <w:r w:rsidRPr="00FA68E4">
        <w:rPr>
          <w:color w:val="A6A6A6" w:themeColor="background1" w:themeShade="A6"/>
          <w:lang w:val="es-MX"/>
        </w:rPr>
        <w:t>-back en horario inhábil deberá completarse en menos de 20 minutos).</w:t>
      </w:r>
    </w:p>
    <w:p w14:paraId="17E38673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los usuarios logren trabajar sin contratiempos después de regresar el sistema al host original </w:t>
      </w:r>
      <w:r w:rsidRPr="00FA68E4">
        <w:rPr>
          <w:color w:val="A6A6A6" w:themeColor="background1" w:themeShade="A6"/>
          <w:lang w:val="es-MX"/>
        </w:rPr>
        <w:t>(</w:t>
      </w:r>
      <w:proofErr w:type="spellStart"/>
      <w:r w:rsidRPr="00FA68E4">
        <w:rPr>
          <w:color w:val="A6A6A6" w:themeColor="background1" w:themeShade="A6"/>
          <w:lang w:val="es-MX"/>
        </w:rPr>
        <w:t>fail</w:t>
      </w:r>
      <w:proofErr w:type="spellEnd"/>
      <w:r w:rsidRPr="00FA68E4">
        <w:rPr>
          <w:color w:val="A6A6A6" w:themeColor="background1" w:themeShade="A6"/>
          <w:lang w:val="es-MX"/>
        </w:rPr>
        <w:t>-back en horario inhábil deberá completarse en menos de 20 minutos)</w:t>
      </w:r>
      <w:r w:rsidRPr="00FA68E4">
        <w:rPr>
          <w:lang w:val="es-MX"/>
        </w:rPr>
        <w:t>.</w:t>
      </w:r>
    </w:p>
    <w:p w14:paraId="288DCFAB" w14:textId="77777777" w:rsidR="00FA68E4" w:rsidRPr="00367DBD" w:rsidRDefault="00FA68E4" w:rsidP="00283F6D">
      <w:pPr>
        <w:pStyle w:val="Prrafodelista"/>
        <w:ind w:left="2520"/>
        <w:jc w:val="both"/>
        <w:rPr>
          <w:lang w:val="es-MX"/>
        </w:rPr>
      </w:pPr>
    </w:p>
    <w:p w14:paraId="18AACFE2" w14:textId="77777777" w:rsidR="00982338" w:rsidRDefault="00982338" w:rsidP="008604F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982338">
        <w:rPr>
          <w:lang w:val="es-MX"/>
        </w:rPr>
        <w:t>Actividades a Realizar. Para la simulación la no disponibilidad de un servidor o del centro de datos completo se deberán realizar las siguientes actividades:</w:t>
      </w:r>
    </w:p>
    <w:p w14:paraId="1E1C8AEF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Apagar un sistema o servidor en el centro de datos principal.</w:t>
      </w:r>
    </w:p>
    <w:p w14:paraId="480AA374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Sincronizar replicas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5B2D6E8F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Realizar </w:t>
      </w:r>
      <w:proofErr w:type="spellStart"/>
      <w:r w:rsidRPr="008604F7">
        <w:rPr>
          <w:lang w:val="es-MX"/>
        </w:rPr>
        <w:t>failover</w:t>
      </w:r>
      <w:proofErr w:type="spellEnd"/>
      <w:r w:rsidRPr="008604F7">
        <w:rPr>
          <w:lang w:val="es-MX"/>
        </w:rPr>
        <w:t xml:space="preserve">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78F7407C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Probar conectividad y funcionamiento de sistema en centro de datos Alterno.</w:t>
      </w:r>
    </w:p>
    <w:p w14:paraId="4071BB66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Apagar sistema en centro de datos alterno.</w:t>
      </w:r>
    </w:p>
    <w:p w14:paraId="662F16B0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Realizar </w:t>
      </w:r>
      <w:proofErr w:type="spellStart"/>
      <w:r w:rsidRPr="008604F7">
        <w:rPr>
          <w:lang w:val="es-MX"/>
        </w:rPr>
        <w:t>failback</w:t>
      </w:r>
      <w:proofErr w:type="spellEnd"/>
      <w:r w:rsidRPr="008604F7">
        <w:rPr>
          <w:lang w:val="es-MX"/>
        </w:rPr>
        <w:t xml:space="preserve">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37864796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Probar funcionamiento del sistema en centro de datos principal.</w:t>
      </w:r>
    </w:p>
    <w:p w14:paraId="357523AE" w14:textId="6D04A4BD" w:rsidR="008604F7" w:rsidRPr="008604F7" w:rsidRDefault="00EB10B4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</w:t>
      </w:r>
      <w:r w:rsidR="008604F7" w:rsidRPr="008604F7">
        <w:rPr>
          <w:lang w:val="es-MX"/>
        </w:rPr>
        <w:t>.</w:t>
      </w:r>
    </w:p>
    <w:p w14:paraId="1A8D655B" w14:textId="77777777" w:rsidR="008604F7" w:rsidRPr="008604F7" w:rsidRDefault="008604F7" w:rsidP="008604F7">
      <w:pPr>
        <w:pStyle w:val="Prrafodelista"/>
        <w:ind w:left="2520"/>
        <w:jc w:val="both"/>
        <w:rPr>
          <w:lang w:val="es-MX"/>
        </w:rPr>
      </w:pPr>
    </w:p>
    <w:p w14:paraId="4F372815" w14:textId="77777777" w:rsidR="00EF2BA4" w:rsidRPr="00EF2BA4" w:rsidRDefault="00EF2BA4" w:rsidP="00170A37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EF2BA4">
        <w:rPr>
          <w:b/>
          <w:bCs/>
          <w:lang w:val="es-MX"/>
        </w:rPr>
        <w:t>Falla de los lectores de dispositivos del monedero.</w:t>
      </w:r>
    </w:p>
    <w:p w14:paraId="3AF763BF" w14:textId="254582D0" w:rsidR="006C326A" w:rsidRDefault="006C326A" w:rsidP="00170A3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C326A">
        <w:rPr>
          <w:lang w:val="es-MX"/>
        </w:rPr>
        <w:t xml:space="preserve">Comportamiento esperado. En caso de falla de las lectoras de dispositivo del </w:t>
      </w:r>
      <w:r w:rsidR="00EE690A" w:rsidRPr="00B0105A">
        <w:rPr>
          <w:rFonts w:cs="Arial"/>
          <w:lang w:val="es-MX"/>
        </w:rPr>
        <w:t xml:space="preserve">Monedero </w:t>
      </w:r>
      <w:r w:rsidR="00EE690A">
        <w:rPr>
          <w:rFonts w:cs="Arial"/>
          <w:lang w:val="es-MX"/>
        </w:rPr>
        <w:t>Electrónico</w:t>
      </w:r>
      <w:r w:rsidRPr="006C326A">
        <w:rPr>
          <w:lang w:val="es-MX"/>
        </w:rPr>
        <w:t xml:space="preserve"> se espera que:</w:t>
      </w:r>
    </w:p>
    <w:p w14:paraId="1D97595D" w14:textId="77777777" w:rsidR="00170A37" w:rsidRPr="00170A37" w:rsidRDefault="00170A37" w:rsidP="00170A37">
      <w:pPr>
        <w:pStyle w:val="Prrafodelista"/>
        <w:numPr>
          <w:ilvl w:val="0"/>
          <w:numId w:val="25"/>
        </w:numPr>
        <w:spacing w:before="60" w:after="60"/>
        <w:contextualSpacing w:val="0"/>
        <w:jc w:val="both"/>
        <w:rPr>
          <w:lang w:val="es-MX"/>
        </w:rPr>
      </w:pPr>
      <w:r w:rsidRPr="00170A37">
        <w:rPr>
          <w:lang w:val="es-MX"/>
        </w:rPr>
        <w:t xml:space="preserve">Que sea posible utilizar las lectoras en otros puntos de venta </w:t>
      </w:r>
      <w:r w:rsidRPr="00170A37">
        <w:rPr>
          <w:color w:val="A6A6A6" w:themeColor="background1" w:themeShade="A6"/>
          <w:lang w:val="es-MX"/>
        </w:rPr>
        <w:t>(inmediato)</w:t>
      </w:r>
      <w:r w:rsidRPr="00170A37">
        <w:rPr>
          <w:lang w:val="es-MX"/>
        </w:rPr>
        <w:t>.</w:t>
      </w:r>
    </w:p>
    <w:p w14:paraId="718F6BB7" w14:textId="15A564DB" w:rsidR="00170A37" w:rsidRPr="00170A37" w:rsidRDefault="00170A37" w:rsidP="00170A37">
      <w:pPr>
        <w:pStyle w:val="Prrafodelista"/>
        <w:numPr>
          <w:ilvl w:val="0"/>
          <w:numId w:val="25"/>
        </w:numPr>
        <w:spacing w:before="60" w:after="60"/>
        <w:contextualSpacing w:val="0"/>
        <w:jc w:val="both"/>
        <w:rPr>
          <w:lang w:val="es-MX"/>
        </w:rPr>
      </w:pPr>
      <w:r w:rsidRPr="00170A37">
        <w:rPr>
          <w:lang w:val="es-MX"/>
        </w:rPr>
        <w:t xml:space="preserve">Que sea posible operar el monedero de forma manual en caso de que no haya otras lectoras en otros puntos de venta </w:t>
      </w:r>
      <w:r w:rsidRPr="00170A37">
        <w:rPr>
          <w:color w:val="A6A6A6" w:themeColor="background1" w:themeShade="A6"/>
          <w:lang w:val="es-MX"/>
        </w:rPr>
        <w:t>(Inmediato)</w:t>
      </w:r>
      <w:r w:rsidRPr="00170A37">
        <w:rPr>
          <w:lang w:val="es-MX"/>
        </w:rPr>
        <w:t>.</w:t>
      </w:r>
    </w:p>
    <w:p w14:paraId="5A00EB37" w14:textId="14799BAF" w:rsidR="000B140D" w:rsidRDefault="000B140D" w:rsidP="000B140D">
      <w:pPr>
        <w:pStyle w:val="Prrafodelista"/>
        <w:spacing w:before="60" w:after="60"/>
        <w:ind w:left="1800"/>
        <w:contextualSpacing w:val="0"/>
        <w:jc w:val="both"/>
        <w:rPr>
          <w:lang w:val="es-MX"/>
        </w:rPr>
      </w:pPr>
    </w:p>
    <w:p w14:paraId="1E604823" w14:textId="4B06ABFD" w:rsidR="00B173B0" w:rsidRPr="00B173B0" w:rsidRDefault="00B173B0" w:rsidP="00C760AA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B173B0">
        <w:rPr>
          <w:lang w:val="es-MX"/>
        </w:rPr>
        <w:lastRenderedPageBreak/>
        <w:t>Actividades a Realizar. Para la simulación la falla de lectores de dispositivos se deberán realizar las siguientes actividades:</w:t>
      </w:r>
    </w:p>
    <w:p w14:paraId="43E48D25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Confirmar que el personal conoce el procedimiento para operar el monedero de forma manual.</w:t>
      </w:r>
    </w:p>
    <w:p w14:paraId="320795E4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Deshabilitar las lectoras de dispositivos.</w:t>
      </w:r>
    </w:p>
    <w:p w14:paraId="680E104F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Realizar una carga utilizando el monedero.</w:t>
      </w:r>
    </w:p>
    <w:p w14:paraId="7E94A7A6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Registrar tiempos del proceso de autorización manual.</w:t>
      </w:r>
    </w:p>
    <w:p w14:paraId="27F07C4C" w14:textId="31FB0372" w:rsidR="00C760AA" w:rsidRPr="00C760AA" w:rsidRDefault="00EB10B4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</w:t>
      </w:r>
      <w:r w:rsidR="00C760AA" w:rsidRPr="00C760AA">
        <w:rPr>
          <w:lang w:val="es-MX"/>
        </w:rPr>
        <w:t>.</w:t>
      </w:r>
    </w:p>
    <w:p w14:paraId="0B2C692B" w14:textId="77777777" w:rsidR="00B173B0" w:rsidRPr="00B173B0" w:rsidRDefault="00B173B0" w:rsidP="00C760AA">
      <w:pPr>
        <w:pStyle w:val="Prrafodelista"/>
        <w:ind w:left="2520"/>
        <w:rPr>
          <w:b/>
          <w:bCs/>
          <w:lang w:val="es-MX"/>
        </w:rPr>
      </w:pPr>
    </w:p>
    <w:p w14:paraId="0CB104F4" w14:textId="5A5EE4AB" w:rsidR="00697B44" w:rsidRDefault="00EC2620" w:rsidP="001065CE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>
        <w:rPr>
          <w:b/>
          <w:bCs/>
          <w:lang w:val="es-MX"/>
        </w:rPr>
        <w:t>Falla global del sistema de monedero.</w:t>
      </w:r>
    </w:p>
    <w:p w14:paraId="7D00A970" w14:textId="77777777" w:rsidR="00060AB0" w:rsidRDefault="00060AB0" w:rsidP="001065CE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60AB0">
        <w:rPr>
          <w:lang w:val="es-MX"/>
        </w:rPr>
        <w:t>Comportamiento esperado. En caso de que el sistema de monedero no esté disponible por cualquier continencia se espera que:</w:t>
      </w:r>
    </w:p>
    <w:p w14:paraId="1795E950" w14:textId="77777777" w:rsidR="001065CE" w:rsidRPr="001065CE" w:rsidRDefault="001065CE" w:rsidP="001065CE">
      <w:pPr>
        <w:pStyle w:val="Prrafodelista"/>
        <w:numPr>
          <w:ilvl w:val="0"/>
          <w:numId w:val="27"/>
        </w:numPr>
        <w:spacing w:before="60" w:after="60"/>
        <w:contextualSpacing w:val="0"/>
        <w:jc w:val="both"/>
        <w:rPr>
          <w:lang w:val="es-MX"/>
        </w:rPr>
      </w:pPr>
      <w:r w:rsidRPr="001065CE">
        <w:rPr>
          <w:lang w:val="es-MX"/>
        </w:rPr>
        <w:t xml:space="preserve">Que sea posible operar el monedero de forma manual </w:t>
      </w:r>
      <w:r w:rsidRPr="001065CE">
        <w:rPr>
          <w:color w:val="A6A6A6" w:themeColor="background1" w:themeShade="A6"/>
          <w:lang w:val="es-MX"/>
        </w:rPr>
        <w:t>(Inmediato)</w:t>
      </w:r>
      <w:r w:rsidRPr="001065CE">
        <w:rPr>
          <w:lang w:val="es-MX"/>
        </w:rPr>
        <w:t>.</w:t>
      </w:r>
    </w:p>
    <w:p w14:paraId="6D246306" w14:textId="77777777" w:rsidR="001065CE" w:rsidRPr="001065CE" w:rsidRDefault="001065CE" w:rsidP="001065CE">
      <w:pPr>
        <w:pStyle w:val="Prrafodelista"/>
        <w:numPr>
          <w:ilvl w:val="0"/>
          <w:numId w:val="27"/>
        </w:numPr>
        <w:spacing w:before="60" w:after="60"/>
        <w:contextualSpacing w:val="0"/>
        <w:jc w:val="both"/>
        <w:rPr>
          <w:lang w:val="es-MX"/>
        </w:rPr>
      </w:pPr>
      <w:r w:rsidRPr="001065CE">
        <w:rPr>
          <w:lang w:val="es-MX"/>
        </w:rPr>
        <w:t>Que sea posible actualizar el monedero una vez restablecido con las operaciones realizadas de forma manual.</w:t>
      </w:r>
    </w:p>
    <w:p w14:paraId="403C4876" w14:textId="77777777" w:rsidR="00060AB0" w:rsidRPr="00060AB0" w:rsidRDefault="00060AB0" w:rsidP="001065CE">
      <w:pPr>
        <w:pStyle w:val="Prrafodelista"/>
        <w:ind w:left="2520"/>
        <w:jc w:val="both"/>
        <w:rPr>
          <w:lang w:val="es-MX"/>
        </w:rPr>
      </w:pPr>
    </w:p>
    <w:p w14:paraId="7103C14F" w14:textId="77777777" w:rsidR="00325EEF" w:rsidRDefault="00325EEF" w:rsidP="00285FF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325EEF">
        <w:rPr>
          <w:lang w:val="es-MX"/>
        </w:rPr>
        <w:t>Actividades a Realizar. Para la simulación la falla de lectores de dispositivos se deberán realizar las siguientes actividades:</w:t>
      </w:r>
    </w:p>
    <w:p w14:paraId="09575BD5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Confirmar que el personal conoce el procedimiento para operar el monedero de forma manual.</w:t>
      </w:r>
    </w:p>
    <w:p w14:paraId="776AA4A3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Deshabilitar las lectoras de dispositivos.</w:t>
      </w:r>
    </w:p>
    <w:p w14:paraId="513AEC23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Realizar una carga utilizando el monedero.</w:t>
      </w:r>
    </w:p>
    <w:p w14:paraId="5C81DC58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Registrar tiempos del proceso de autorización manual.</w:t>
      </w:r>
    </w:p>
    <w:p w14:paraId="7CEF0FCE" w14:textId="08D7529E" w:rsidR="00285FF7" w:rsidRPr="00285FF7" w:rsidRDefault="00EB10B4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-F-26</w:t>
      </w:r>
      <w:r w:rsidRPr="004E7649">
        <w:rPr>
          <w:lang w:val="es-MX"/>
        </w:rPr>
        <w:t>), formato de prueba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-F-27</w:t>
      </w:r>
      <w:r w:rsidRPr="004E7649">
        <w:rPr>
          <w:lang w:val="es-MX"/>
        </w:rPr>
        <w:t>) y formato de adecuaciones del plan de continuidad (</w:t>
      </w:r>
      <w:r w:rsidR="003A335F">
        <w:rPr>
          <w:b/>
          <w:lang w:val="es-MX"/>
        </w:rPr>
        <w:t>SF</w:t>
      </w:r>
      <w:r w:rsidRPr="00EB10B4">
        <w:rPr>
          <w:b/>
          <w:lang w:val="es-MX"/>
        </w:rPr>
        <w:t>-F-28</w:t>
      </w:r>
      <w:r w:rsidRPr="004E7649">
        <w:rPr>
          <w:lang w:val="es-MX"/>
        </w:rPr>
        <w:t>) en caso de ser necesario</w:t>
      </w:r>
      <w:r w:rsidR="00285FF7" w:rsidRPr="00285FF7">
        <w:rPr>
          <w:lang w:val="es-MX"/>
        </w:rPr>
        <w:t>.</w:t>
      </w:r>
    </w:p>
    <w:p w14:paraId="05161F98" w14:textId="77777777" w:rsidR="00325EEF" w:rsidRPr="00325EEF" w:rsidRDefault="00325EEF" w:rsidP="00285FF7">
      <w:pPr>
        <w:pStyle w:val="Prrafodelista"/>
        <w:ind w:left="2520"/>
        <w:jc w:val="both"/>
        <w:rPr>
          <w:lang w:val="es-MX"/>
        </w:rPr>
      </w:pPr>
    </w:p>
    <w:p w14:paraId="094807FB" w14:textId="3AAF75E6" w:rsidR="00F61F05" w:rsidRDefault="00F61F05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BA1F35A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3E3E88E9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137FC951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3620D56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5040A2E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F9FE372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06CF2C7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3212D968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EA0FD2F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009B4D3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534BABE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56348AD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D2C14AC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78DD8D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39AD2D1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9FF7D0E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21A91913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2FAAFF65" w14:textId="77777777" w:rsidR="006579EE" w:rsidRP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2D08E0" w:rsidRPr="00A23743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7BD01C7E" w:rsidR="002D08E0" w:rsidRPr="00F1397F" w:rsidRDefault="003A335F" w:rsidP="002D08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lang w:val="es-MX"/>
              </w:rPr>
              <w:t>SF</w:t>
            </w:r>
            <w:r w:rsidR="00EB10B4" w:rsidRPr="00EB10B4">
              <w:rPr>
                <w:lang w:val="es-MX"/>
              </w:rPr>
              <w:t>-P-13</w:t>
            </w:r>
          </w:p>
        </w:tc>
        <w:tc>
          <w:tcPr>
            <w:tcW w:w="8402" w:type="dxa"/>
            <w:vAlign w:val="center"/>
          </w:tcPr>
          <w:p w14:paraId="249D8FE0" w14:textId="5A1D7173" w:rsidR="002D08E0" w:rsidRPr="00F1397F" w:rsidRDefault="002D08E0" w:rsidP="002D08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D08E0">
              <w:rPr>
                <w:rFonts w:cs="Arial"/>
                <w:color w:val="000000"/>
                <w:lang w:val="es-MX"/>
              </w:rPr>
              <w:t>Plan de continuidad del negocio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EB10B4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5D39E0F8" w:rsidR="00EB10B4" w:rsidRPr="00EB10B4" w:rsidRDefault="003A335F" w:rsidP="00EB10B4">
            <w:pPr>
              <w:spacing w:line="2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EB10B4" w:rsidRPr="00EB10B4">
              <w:rPr>
                <w:rFonts w:cs="Arial"/>
                <w:color w:val="000000"/>
                <w:szCs w:val="22"/>
              </w:rPr>
              <w:t>-F-26</w:t>
            </w:r>
          </w:p>
        </w:tc>
        <w:tc>
          <w:tcPr>
            <w:tcW w:w="3150" w:type="dxa"/>
            <w:vAlign w:val="center"/>
          </w:tcPr>
          <w:p w14:paraId="5CB63603" w14:textId="43686847" w:rsidR="00EB10B4" w:rsidRPr="007379E6" w:rsidRDefault="00EB10B4" w:rsidP="00EB10B4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resultados de la ejecución de los planes</w:t>
            </w:r>
          </w:p>
        </w:tc>
        <w:tc>
          <w:tcPr>
            <w:tcW w:w="1485" w:type="dxa"/>
            <w:vAlign w:val="center"/>
          </w:tcPr>
          <w:p w14:paraId="5542F112" w14:textId="0850B149" w:rsidR="00EB10B4" w:rsidRPr="007379E6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04273388" w14:textId="20815B9A" w:rsidR="00EB10B4" w:rsidRPr="007379E6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6EF0A2C6" w14:textId="3234B599" w:rsidR="00EB10B4" w:rsidRPr="007379E6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  <w:tr w:rsidR="00EB10B4" w:rsidRPr="007379E6" w14:paraId="4F2642FD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75F4BABA" w14:textId="15181E14" w:rsidR="00EB10B4" w:rsidRPr="00EB10B4" w:rsidRDefault="003A335F" w:rsidP="00EB10B4">
            <w:pPr>
              <w:spacing w:line="260" w:lineRule="auto"/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EB10B4" w:rsidRPr="00EB10B4">
              <w:rPr>
                <w:rFonts w:cs="Arial"/>
                <w:color w:val="000000"/>
                <w:szCs w:val="22"/>
              </w:rPr>
              <w:t>-F-27</w:t>
            </w:r>
          </w:p>
        </w:tc>
        <w:tc>
          <w:tcPr>
            <w:tcW w:w="3150" w:type="dxa"/>
            <w:vAlign w:val="center"/>
          </w:tcPr>
          <w:p w14:paraId="48AC5FCA" w14:textId="29EB226B" w:rsidR="00EB10B4" w:rsidRPr="00DE79B5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resultados de pruebas a los planes</w:t>
            </w:r>
          </w:p>
        </w:tc>
        <w:tc>
          <w:tcPr>
            <w:tcW w:w="1485" w:type="dxa"/>
            <w:vAlign w:val="center"/>
          </w:tcPr>
          <w:p w14:paraId="17E3A9B8" w14:textId="3C943F42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13F2A973" w14:textId="1E4B9F65" w:rsidR="00EB10B4" w:rsidRPr="00EB10B4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5F5B5DB1" w14:textId="562EA60E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  <w:tr w:rsidR="00EB10B4" w:rsidRPr="007379E6" w14:paraId="1E2B405B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7C1B0828" w14:textId="7B3C034B" w:rsidR="00EB10B4" w:rsidRPr="00EB10B4" w:rsidRDefault="003A335F" w:rsidP="00EB10B4">
            <w:pPr>
              <w:spacing w:line="260" w:lineRule="auto"/>
              <w:jc w:val="center"/>
              <w:rPr>
                <w:rFonts w:cs="Arial"/>
              </w:rPr>
            </w:pPr>
            <w:r>
              <w:rPr>
                <w:rFonts w:cs="Arial"/>
                <w:color w:val="000000"/>
                <w:szCs w:val="22"/>
              </w:rPr>
              <w:t>SF</w:t>
            </w:r>
            <w:r w:rsidR="00EB10B4" w:rsidRPr="00EB10B4">
              <w:rPr>
                <w:rFonts w:cs="Arial"/>
                <w:color w:val="000000"/>
                <w:szCs w:val="22"/>
              </w:rPr>
              <w:t>-F-28</w:t>
            </w:r>
          </w:p>
        </w:tc>
        <w:tc>
          <w:tcPr>
            <w:tcW w:w="3150" w:type="dxa"/>
            <w:vAlign w:val="center"/>
          </w:tcPr>
          <w:p w14:paraId="3414F173" w14:textId="3E662C81" w:rsidR="00EB10B4" w:rsidRPr="00DE79B5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adecuaciones a los planes</w:t>
            </w:r>
          </w:p>
        </w:tc>
        <w:tc>
          <w:tcPr>
            <w:tcW w:w="1485" w:type="dxa"/>
            <w:vAlign w:val="center"/>
          </w:tcPr>
          <w:p w14:paraId="227F99A1" w14:textId="70C6374A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14356898" w14:textId="7F43F755" w:rsidR="00EB10B4" w:rsidRPr="00EB10B4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5FFA3E0C" w14:textId="6D7475FB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4DADC234" w14:textId="2BD27C4F" w:rsidR="007032E9" w:rsidRPr="007032E9" w:rsidRDefault="007032E9" w:rsidP="007032E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ind w:hanging="357"/>
        <w:jc w:val="both"/>
        <w:rPr>
          <w:rFonts w:cs="Arial"/>
          <w:b/>
          <w:bCs/>
          <w:sz w:val="22"/>
          <w:szCs w:val="22"/>
          <w:lang w:val="es-MX"/>
        </w:rPr>
      </w:pPr>
      <w:r w:rsidRPr="007032E9">
        <w:rPr>
          <w:rFonts w:cs="Arial"/>
          <w:b/>
          <w:bCs/>
          <w:sz w:val="22"/>
          <w:szCs w:val="22"/>
          <w:lang w:val="es-MX"/>
        </w:rPr>
        <w:t>Glosario</w:t>
      </w:r>
    </w:p>
    <w:p w14:paraId="611F5127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Failover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trasladar la operación de un sistema, servidor o centro de cómputo completo de un lugar físico a otro, con el fin de continuar con las operaciones del negocio. </w:t>
      </w:r>
    </w:p>
    <w:p w14:paraId="097927A1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Failback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regresar la operación de algún sistema, servidor o centro de datos al sitio principal, una vez solucionada la causa que le impedía operar normalmente. </w:t>
      </w:r>
    </w:p>
    <w:p w14:paraId="07F1F288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Sitio principal.</w:t>
      </w:r>
      <w:r w:rsidRPr="007032E9">
        <w:rPr>
          <w:rFonts w:cs="Arial"/>
          <w:lang w:val="es-MX"/>
        </w:rPr>
        <w:t xml:space="preserve"> El centro de datos donde habitualmente se ejecutan los sistemas. </w:t>
      </w:r>
    </w:p>
    <w:p w14:paraId="67F1F0DE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Sitio alterno.</w:t>
      </w:r>
      <w:r w:rsidRPr="007032E9">
        <w:rPr>
          <w:rFonts w:cs="Arial"/>
          <w:lang w:val="es-MX"/>
        </w:rPr>
        <w:t xml:space="preserve"> El centro de datos donde es posible derivar algunos servicios, sistemas en caso de falla del centro de datos principal, para continuar con la operación. </w:t>
      </w:r>
    </w:p>
    <w:p w14:paraId="47B26DF5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Backup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el respaldo o copia completa de los datos que conforman un sistema y que permiten recuperarlo en caso de una falla de servidor, de corrupción de datos o error humano. </w:t>
      </w:r>
    </w:p>
    <w:p w14:paraId="23312CC4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Restore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traer al funcionamiento a un sistema desde el respaldo ya sea en su lugar habitual o en un nuevo lugar.</w:t>
      </w:r>
    </w:p>
    <w:p w14:paraId="308F3019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UPS.</w:t>
      </w:r>
      <w:r w:rsidRPr="007032E9">
        <w:rPr>
          <w:rFonts w:cs="Arial"/>
          <w:lang w:val="es-MX"/>
        </w:rPr>
        <w:t xml:space="preserve"> La sigla UPS es la abreviación de su nombre en inglés </w:t>
      </w:r>
      <w:proofErr w:type="spellStart"/>
      <w:r w:rsidRPr="007032E9">
        <w:rPr>
          <w:rFonts w:cs="Arial"/>
          <w:lang w:val="es-MX"/>
        </w:rPr>
        <w:t>Uninterruptable</w:t>
      </w:r>
      <w:proofErr w:type="spellEnd"/>
      <w:r w:rsidRPr="007032E9">
        <w:rPr>
          <w:rFonts w:cs="Arial"/>
          <w:lang w:val="es-MX"/>
        </w:rPr>
        <w:t xml:space="preserve"> </w:t>
      </w:r>
      <w:proofErr w:type="spellStart"/>
      <w:r w:rsidRPr="007032E9">
        <w:rPr>
          <w:rFonts w:cs="Arial"/>
          <w:lang w:val="es-MX"/>
        </w:rPr>
        <w:t>Power</w:t>
      </w:r>
      <w:proofErr w:type="spellEnd"/>
      <w:r w:rsidRPr="007032E9">
        <w:rPr>
          <w:rFonts w:cs="Arial"/>
          <w:lang w:val="es-MX"/>
        </w:rPr>
        <w:t xml:space="preserve"> </w:t>
      </w:r>
      <w:proofErr w:type="spellStart"/>
      <w:r w:rsidRPr="007032E9">
        <w:rPr>
          <w:rFonts w:cs="Arial"/>
          <w:lang w:val="es-MX"/>
        </w:rPr>
        <w:t>Supply</w:t>
      </w:r>
      <w:proofErr w:type="spellEnd"/>
      <w:r w:rsidRPr="007032E9">
        <w:rPr>
          <w:rFonts w:cs="Arial"/>
          <w:lang w:val="es-MX"/>
        </w:rPr>
        <w:t>, también llamado Sistema de Alimentación Ininterrumpida.</w:t>
      </w:r>
    </w:p>
    <w:p w14:paraId="00350135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Jitter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una variación o demora en la entrega de paquetes de datos a través de una red, es decir, una demora entre el momento en que se transmite y se recibe una señal.</w:t>
      </w:r>
    </w:p>
    <w:p w14:paraId="6CB006D5" w14:textId="77777777" w:rsidR="007032E9" w:rsidRDefault="007032E9" w:rsidP="007032E9">
      <w:pPr>
        <w:pStyle w:val="Encabezado"/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lang w:val="es-MX"/>
        </w:rPr>
      </w:pPr>
    </w:p>
    <w:p w14:paraId="64515640" w14:textId="407C53F5" w:rsidR="007032E9" w:rsidRPr="007032E9" w:rsidRDefault="007032E9" w:rsidP="007032E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sz w:val="22"/>
          <w:szCs w:val="22"/>
          <w:lang w:val="es-MX"/>
        </w:rPr>
      </w:pPr>
      <w:r w:rsidRPr="007032E9">
        <w:rPr>
          <w:rFonts w:cs="Arial"/>
          <w:b/>
          <w:bCs/>
          <w:sz w:val="22"/>
          <w:szCs w:val="22"/>
          <w:lang w:val="es-MX"/>
        </w:rPr>
        <w:t>Anexos</w:t>
      </w:r>
    </w:p>
    <w:p w14:paraId="2D3984C0" w14:textId="2AEA0880" w:rsidR="007032E9" w:rsidRPr="00E8237D" w:rsidRDefault="007032E9" w:rsidP="007032E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7032E9" w:rsidRPr="00E8237D" w:rsidSect="00872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48BD" w14:textId="77777777" w:rsidR="001063B9" w:rsidRDefault="001063B9">
      <w:r>
        <w:separator/>
      </w:r>
    </w:p>
  </w:endnote>
  <w:endnote w:type="continuationSeparator" w:id="0">
    <w:p w14:paraId="26861962" w14:textId="77777777" w:rsidR="001063B9" w:rsidRDefault="0010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EDB00" w14:textId="77777777" w:rsidR="00EE690A" w:rsidRDefault="00EE6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6DC034E3" w:rsidR="001E29EA" w:rsidRPr="001E32A6" w:rsidRDefault="003A335F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 xml:space="preserve">Documento de clasificación Reservada. Este documento contiene información exclusiva la cual es propiedad </w:t>
    </w:r>
    <w:r>
      <w:rPr>
        <w:sz w:val="14"/>
        <w:u w:val="single"/>
        <w:lang w:val="es-MX"/>
      </w:rPr>
      <w:t>de 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6F272D68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23743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23743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A23743" w14:paraId="075D73BF" w14:textId="77777777" w:rsidTr="001E32A6">
      <w:tc>
        <w:tcPr>
          <w:tcW w:w="10926" w:type="dxa"/>
        </w:tcPr>
        <w:p w14:paraId="6E2B1F52" w14:textId="3EA9E80C" w:rsidR="001E29EA" w:rsidRPr="001E32A6" w:rsidRDefault="003A335F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Este documento contiene información exclusiva la cual es propiedad </w:t>
          </w:r>
          <w:r>
            <w:rPr>
              <w:sz w:val="14"/>
              <w:u w:val="single"/>
              <w:lang w:val="es-MX"/>
            </w:rPr>
            <w:t>de 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C09FFB1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A23743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A23743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1D15" w14:textId="77777777" w:rsidR="001063B9" w:rsidRDefault="001063B9">
      <w:r>
        <w:separator/>
      </w:r>
    </w:p>
  </w:footnote>
  <w:footnote w:type="continuationSeparator" w:id="0">
    <w:p w14:paraId="4B2D8E4D" w14:textId="77777777" w:rsidR="001063B9" w:rsidRDefault="0010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0C207028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A23743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21E9E563" w14:textId="77777777" w:rsidR="003A335F" w:rsidRPr="006B28E8" w:rsidRDefault="003A335F" w:rsidP="003A335F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2511D7D0" w:rsidR="0086459B" w:rsidRPr="0086459B" w:rsidRDefault="003A335F" w:rsidP="003A335F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Pr="004F471C">
            <w:rPr>
              <w:b/>
              <w:lang w:val="es-MX"/>
            </w:rPr>
            <w:t>.</w:t>
          </w:r>
        </w:p>
      </w:tc>
    </w:tr>
  </w:tbl>
  <w:p w14:paraId="4F456931" w14:textId="537B5EB6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774E264E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A23743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275212D1" w:rsidR="00F855EF" w:rsidRPr="00CA7845" w:rsidRDefault="003A335F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EB10B4" w:rsidRPr="00EB10B4">
            <w:rPr>
              <w:color w:val="000000" w:themeColor="text1"/>
              <w:lang w:val="es-MX"/>
            </w:rPr>
            <w:t>-P-15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5DCCDA7" w:rsidR="00F855EF" w:rsidRPr="00CA7845" w:rsidRDefault="00EB10B4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0FE09B37" w:rsidR="00F855EF" w:rsidRPr="00CA7845" w:rsidRDefault="000B140D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6F33974A" w14:textId="77777777" w:rsidR="003A335F" w:rsidRPr="00CA7845" w:rsidRDefault="003A335F" w:rsidP="003A335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293FEA72" w:rsidR="00F855EF" w:rsidRPr="00CA7845" w:rsidRDefault="003A335F" w:rsidP="003A335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A23743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693B0E3" w:rsidR="00F855EF" w:rsidRPr="00CA7845" w:rsidRDefault="00EB10B4" w:rsidP="00872C12">
          <w:pPr>
            <w:jc w:val="center"/>
            <w:rPr>
              <w:color w:val="000000" w:themeColor="text1"/>
              <w:lang w:val="es-MX"/>
            </w:rPr>
          </w:pPr>
          <w:r w:rsidRPr="00EB10B4">
            <w:rPr>
              <w:color w:val="000000" w:themeColor="text1"/>
              <w:lang w:val="es-MX"/>
            </w:rPr>
            <w:t>Criterios de diseño de prueba para los planes de continuidad del negocio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8D2040A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EB10B4">
      <w:rPr>
        <w:b/>
        <w:color w:val="000000" w:themeColor="text1"/>
        <w:lang w:val="es-MX"/>
      </w:rPr>
      <w:t>58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3340C0C"/>
    <w:multiLevelType w:val="hybridMultilevel"/>
    <w:tmpl w:val="AD147DD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4D4650"/>
    <w:multiLevelType w:val="hybridMultilevel"/>
    <w:tmpl w:val="6D64237C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D4022"/>
    <w:multiLevelType w:val="hybridMultilevel"/>
    <w:tmpl w:val="30BE4870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A5683F"/>
    <w:multiLevelType w:val="hybridMultilevel"/>
    <w:tmpl w:val="258AAD1A"/>
    <w:lvl w:ilvl="0" w:tplc="CD8CFB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B250CF8"/>
    <w:multiLevelType w:val="hybridMultilevel"/>
    <w:tmpl w:val="761470A6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EE005A"/>
    <w:multiLevelType w:val="hybridMultilevel"/>
    <w:tmpl w:val="6012FE3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75DEE"/>
    <w:multiLevelType w:val="hybridMultilevel"/>
    <w:tmpl w:val="930EF8EE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9E696C"/>
    <w:multiLevelType w:val="hybridMultilevel"/>
    <w:tmpl w:val="4BCAE04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D5B95"/>
    <w:multiLevelType w:val="hybridMultilevel"/>
    <w:tmpl w:val="56E29D48"/>
    <w:lvl w:ilvl="0" w:tplc="CD8CFB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475D2F"/>
    <w:multiLevelType w:val="hybridMultilevel"/>
    <w:tmpl w:val="41A4C542"/>
    <w:lvl w:ilvl="0" w:tplc="CD8CFB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720D"/>
    <w:multiLevelType w:val="hybridMultilevel"/>
    <w:tmpl w:val="3B62915A"/>
    <w:lvl w:ilvl="0" w:tplc="CD8C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B3C54"/>
    <w:multiLevelType w:val="hybridMultilevel"/>
    <w:tmpl w:val="2FA05CA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68A7AB8"/>
    <w:multiLevelType w:val="hybridMultilevel"/>
    <w:tmpl w:val="8CAE93B4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97880"/>
    <w:multiLevelType w:val="hybridMultilevel"/>
    <w:tmpl w:val="72628A16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B87505"/>
    <w:multiLevelType w:val="hybridMultilevel"/>
    <w:tmpl w:val="03ECCF08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F028C"/>
    <w:multiLevelType w:val="hybridMultilevel"/>
    <w:tmpl w:val="C2A23ECC"/>
    <w:lvl w:ilvl="0" w:tplc="CD8CFB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053709B"/>
    <w:multiLevelType w:val="hybridMultilevel"/>
    <w:tmpl w:val="537A06C8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12"/>
  </w:num>
  <w:num w:numId="5">
    <w:abstractNumId w:val="18"/>
  </w:num>
  <w:num w:numId="6">
    <w:abstractNumId w:val="0"/>
  </w:num>
  <w:num w:numId="7">
    <w:abstractNumId w:val="14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3"/>
  </w:num>
  <w:num w:numId="14">
    <w:abstractNumId w:val="22"/>
  </w:num>
  <w:num w:numId="15">
    <w:abstractNumId w:val="11"/>
  </w:num>
  <w:num w:numId="16">
    <w:abstractNumId w:val="7"/>
  </w:num>
  <w:num w:numId="17">
    <w:abstractNumId w:val="5"/>
  </w:num>
  <w:num w:numId="18">
    <w:abstractNumId w:val="20"/>
  </w:num>
  <w:num w:numId="19">
    <w:abstractNumId w:val="15"/>
  </w:num>
  <w:num w:numId="20">
    <w:abstractNumId w:val="17"/>
  </w:num>
  <w:num w:numId="21">
    <w:abstractNumId w:val="3"/>
  </w:num>
  <w:num w:numId="22">
    <w:abstractNumId w:val="2"/>
  </w:num>
  <w:num w:numId="23">
    <w:abstractNumId w:val="9"/>
  </w:num>
  <w:num w:numId="24">
    <w:abstractNumId w:val="4"/>
  </w:num>
  <w:num w:numId="25">
    <w:abstractNumId w:val="19"/>
  </w:num>
  <w:num w:numId="26">
    <w:abstractNumId w:val="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AB0"/>
    <w:rsid w:val="00060C29"/>
    <w:rsid w:val="000625DD"/>
    <w:rsid w:val="000641CF"/>
    <w:rsid w:val="00065DCB"/>
    <w:rsid w:val="00072A66"/>
    <w:rsid w:val="000755FD"/>
    <w:rsid w:val="00077459"/>
    <w:rsid w:val="000847B0"/>
    <w:rsid w:val="00086E8B"/>
    <w:rsid w:val="00096EFF"/>
    <w:rsid w:val="000A35D9"/>
    <w:rsid w:val="000A5E13"/>
    <w:rsid w:val="000B140D"/>
    <w:rsid w:val="000B7599"/>
    <w:rsid w:val="000C0B86"/>
    <w:rsid w:val="000C551A"/>
    <w:rsid w:val="000E0218"/>
    <w:rsid w:val="000F5A0F"/>
    <w:rsid w:val="00101AC3"/>
    <w:rsid w:val="00103FA8"/>
    <w:rsid w:val="001063B9"/>
    <w:rsid w:val="001065CE"/>
    <w:rsid w:val="0011173F"/>
    <w:rsid w:val="0011207D"/>
    <w:rsid w:val="00116998"/>
    <w:rsid w:val="00117616"/>
    <w:rsid w:val="00123DBB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0A37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D2DD6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83F6D"/>
    <w:rsid w:val="00285FF7"/>
    <w:rsid w:val="002A3ADB"/>
    <w:rsid w:val="002A3B57"/>
    <w:rsid w:val="002A5D3B"/>
    <w:rsid w:val="002B044E"/>
    <w:rsid w:val="002B6DDE"/>
    <w:rsid w:val="002C1238"/>
    <w:rsid w:val="002C4B4A"/>
    <w:rsid w:val="002D08E0"/>
    <w:rsid w:val="002D0C21"/>
    <w:rsid w:val="002D0CC4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5EEF"/>
    <w:rsid w:val="003260BA"/>
    <w:rsid w:val="00327582"/>
    <w:rsid w:val="003317E4"/>
    <w:rsid w:val="00334AF0"/>
    <w:rsid w:val="003472A3"/>
    <w:rsid w:val="003474D0"/>
    <w:rsid w:val="00355A3E"/>
    <w:rsid w:val="00367DBD"/>
    <w:rsid w:val="00370324"/>
    <w:rsid w:val="003731EB"/>
    <w:rsid w:val="00375A51"/>
    <w:rsid w:val="00380DBB"/>
    <w:rsid w:val="00382DEA"/>
    <w:rsid w:val="00383352"/>
    <w:rsid w:val="003840CF"/>
    <w:rsid w:val="00386450"/>
    <w:rsid w:val="00386F0C"/>
    <w:rsid w:val="003962CB"/>
    <w:rsid w:val="003A1BD7"/>
    <w:rsid w:val="003A23D7"/>
    <w:rsid w:val="003A335F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A5BA6"/>
    <w:rsid w:val="004B265C"/>
    <w:rsid w:val="004B6402"/>
    <w:rsid w:val="004B7B80"/>
    <w:rsid w:val="004C229D"/>
    <w:rsid w:val="004C3F4D"/>
    <w:rsid w:val="004D1E20"/>
    <w:rsid w:val="004D37F0"/>
    <w:rsid w:val="004D62EA"/>
    <w:rsid w:val="004E7649"/>
    <w:rsid w:val="004F471C"/>
    <w:rsid w:val="005175FE"/>
    <w:rsid w:val="00522EA6"/>
    <w:rsid w:val="00524797"/>
    <w:rsid w:val="00544A97"/>
    <w:rsid w:val="00552C45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D2C09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579EE"/>
    <w:rsid w:val="006619C4"/>
    <w:rsid w:val="0066466C"/>
    <w:rsid w:val="0067415E"/>
    <w:rsid w:val="00674A11"/>
    <w:rsid w:val="006821CD"/>
    <w:rsid w:val="00682ED1"/>
    <w:rsid w:val="006865B4"/>
    <w:rsid w:val="00687986"/>
    <w:rsid w:val="00694AA3"/>
    <w:rsid w:val="00697B44"/>
    <w:rsid w:val="006A1258"/>
    <w:rsid w:val="006A7149"/>
    <w:rsid w:val="006B5D74"/>
    <w:rsid w:val="006C1404"/>
    <w:rsid w:val="006C1A94"/>
    <w:rsid w:val="006C326A"/>
    <w:rsid w:val="006D4211"/>
    <w:rsid w:val="006D4322"/>
    <w:rsid w:val="006E4CB2"/>
    <w:rsid w:val="006F6A78"/>
    <w:rsid w:val="007009B6"/>
    <w:rsid w:val="007032E9"/>
    <w:rsid w:val="007040B7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221A"/>
    <w:rsid w:val="008342DA"/>
    <w:rsid w:val="008360E0"/>
    <w:rsid w:val="00837C85"/>
    <w:rsid w:val="0084112B"/>
    <w:rsid w:val="0084590F"/>
    <w:rsid w:val="008604F7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94064"/>
    <w:rsid w:val="008A5983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2338"/>
    <w:rsid w:val="009A0276"/>
    <w:rsid w:val="009A14E3"/>
    <w:rsid w:val="009B3718"/>
    <w:rsid w:val="009B6690"/>
    <w:rsid w:val="009C104C"/>
    <w:rsid w:val="009C107D"/>
    <w:rsid w:val="009D1039"/>
    <w:rsid w:val="009D1B55"/>
    <w:rsid w:val="009D7D7E"/>
    <w:rsid w:val="009E45C0"/>
    <w:rsid w:val="009F5738"/>
    <w:rsid w:val="00A04073"/>
    <w:rsid w:val="00A106F0"/>
    <w:rsid w:val="00A23743"/>
    <w:rsid w:val="00A26629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303A"/>
    <w:rsid w:val="00AB7545"/>
    <w:rsid w:val="00AC06F4"/>
    <w:rsid w:val="00AC0F3E"/>
    <w:rsid w:val="00AC344A"/>
    <w:rsid w:val="00AD74E3"/>
    <w:rsid w:val="00AE3DD2"/>
    <w:rsid w:val="00AE59C0"/>
    <w:rsid w:val="00AF3032"/>
    <w:rsid w:val="00B0105A"/>
    <w:rsid w:val="00B145B0"/>
    <w:rsid w:val="00B173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004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60AA"/>
    <w:rsid w:val="00C77FED"/>
    <w:rsid w:val="00C92727"/>
    <w:rsid w:val="00CA7845"/>
    <w:rsid w:val="00CB190A"/>
    <w:rsid w:val="00CB2F92"/>
    <w:rsid w:val="00CB49BF"/>
    <w:rsid w:val="00CB5A17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57D66"/>
    <w:rsid w:val="00D620DA"/>
    <w:rsid w:val="00D64941"/>
    <w:rsid w:val="00D64E17"/>
    <w:rsid w:val="00D65405"/>
    <w:rsid w:val="00DB7BED"/>
    <w:rsid w:val="00DD3404"/>
    <w:rsid w:val="00DD4CBF"/>
    <w:rsid w:val="00DE6715"/>
    <w:rsid w:val="00DE79B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0B34"/>
    <w:rsid w:val="00E51E75"/>
    <w:rsid w:val="00E5548F"/>
    <w:rsid w:val="00E64438"/>
    <w:rsid w:val="00E67F6D"/>
    <w:rsid w:val="00E721EE"/>
    <w:rsid w:val="00E8237D"/>
    <w:rsid w:val="00E92ED2"/>
    <w:rsid w:val="00E96256"/>
    <w:rsid w:val="00EA52F5"/>
    <w:rsid w:val="00EB10B4"/>
    <w:rsid w:val="00EB725E"/>
    <w:rsid w:val="00EC2620"/>
    <w:rsid w:val="00EC3FCC"/>
    <w:rsid w:val="00EC50C6"/>
    <w:rsid w:val="00EC56B0"/>
    <w:rsid w:val="00ED5B94"/>
    <w:rsid w:val="00EE5E86"/>
    <w:rsid w:val="00EE5FD9"/>
    <w:rsid w:val="00EE690A"/>
    <w:rsid w:val="00EF2BA4"/>
    <w:rsid w:val="00EF335C"/>
    <w:rsid w:val="00EF4C9C"/>
    <w:rsid w:val="00EF5493"/>
    <w:rsid w:val="00F1397F"/>
    <w:rsid w:val="00F247E5"/>
    <w:rsid w:val="00F2693F"/>
    <w:rsid w:val="00F34F98"/>
    <w:rsid w:val="00F3519E"/>
    <w:rsid w:val="00F3541B"/>
    <w:rsid w:val="00F417D4"/>
    <w:rsid w:val="00F41D4E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68E4"/>
    <w:rsid w:val="00FA7C4B"/>
    <w:rsid w:val="00FB1053"/>
    <w:rsid w:val="00FB249F"/>
    <w:rsid w:val="00FC17C9"/>
    <w:rsid w:val="00FE06A2"/>
    <w:rsid w:val="00FE79E3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9424</Characters>
  <Application>Microsoft Office Word</Application>
  <DocSecurity>0</DocSecurity>
  <PresentationFormat/>
  <Lines>78</Lines>
  <Paragraphs>22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2026-03-10T22:27:00Z</dcterms:created>
  <dcterms:modified xsi:type="dcterms:W3CDTF">2026-03-11T23:52:00Z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